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2A" w:rsidRDefault="0028412A" w:rsidP="0028412A">
      <w:pPr>
        <w:pStyle w:val="2"/>
        <w:tabs>
          <w:tab w:val="num" w:pos="0"/>
        </w:tabs>
        <w:spacing w:line="360" w:lineRule="auto"/>
        <w:ind w:right="-105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</w:t>
      </w:r>
      <w:r>
        <w:rPr>
          <w:b/>
          <w:sz w:val="24"/>
          <w:szCs w:val="24"/>
        </w:rPr>
        <w:t>ΥΠΟΔΕΙΓΜΑ ΠΙΝΑΚΑ  ΣΥΜΜ</w:t>
      </w:r>
      <w:r>
        <w:rPr>
          <w:b/>
          <w:spacing w:val="1"/>
          <w:sz w:val="24"/>
          <w:szCs w:val="24"/>
        </w:rPr>
        <w:t>Ο</w:t>
      </w:r>
      <w:r>
        <w:rPr>
          <w:b/>
          <w:sz w:val="24"/>
          <w:szCs w:val="24"/>
        </w:rPr>
        <w:t>ΡΦΩΣΗΣ</w:t>
      </w:r>
    </w:p>
    <w:tbl>
      <w:tblPr>
        <w:tblW w:w="10771" w:type="dxa"/>
        <w:tblInd w:w="-11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6376"/>
        <w:gridCol w:w="1136"/>
        <w:gridCol w:w="1275"/>
        <w:gridCol w:w="1416"/>
      </w:tblGrid>
      <w:tr w:rsidR="0028412A" w:rsidTr="0028412A">
        <w:trPr>
          <w:trHeight w:hRule="exact" w:val="5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12A" w:rsidRDefault="0028412A" w:rsidP="0028412A">
            <w:pPr>
              <w:widowControl w:val="0"/>
              <w:autoSpaceDE w:val="0"/>
              <w:autoSpaceDN w:val="0"/>
              <w:adjustRightInd w:val="0"/>
              <w:ind w:right="-1050"/>
              <w:jc w:val="center"/>
              <w:rPr>
                <w:rFonts w:ascii="Tahoma" w:hAnsi="Tahoma" w:cs="Tahoma"/>
                <w:lang w:val="el-GR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12A" w:rsidRDefault="0028412A" w:rsidP="0028412A">
            <w:pPr>
              <w:widowControl w:val="0"/>
              <w:autoSpaceDE w:val="0"/>
              <w:autoSpaceDN w:val="0"/>
              <w:adjustRightInd w:val="0"/>
              <w:spacing w:before="2" w:line="120" w:lineRule="exact"/>
              <w:ind w:right="-1050"/>
              <w:jc w:val="center"/>
              <w:rPr>
                <w:rFonts w:cs="Tahoma"/>
                <w:szCs w:val="12"/>
                <w:lang w:val="el-GR"/>
              </w:rPr>
            </w:pPr>
          </w:p>
          <w:p w:rsidR="0028412A" w:rsidRDefault="0028412A" w:rsidP="0028412A">
            <w:pPr>
              <w:widowControl w:val="0"/>
              <w:autoSpaceDE w:val="0"/>
              <w:autoSpaceDN w:val="0"/>
              <w:adjustRightInd w:val="0"/>
              <w:ind w:right="-1050"/>
              <w:jc w:val="center"/>
              <w:rPr>
                <w:rFonts w:cs="Tahoma"/>
              </w:rPr>
            </w:pPr>
            <w:r>
              <w:rPr>
                <w:rFonts w:cs="Tahoma"/>
                <w:b/>
                <w:bCs/>
                <w:spacing w:val="-1"/>
              </w:rPr>
              <w:t>ΠΡ</w:t>
            </w:r>
            <w:r>
              <w:rPr>
                <w:rFonts w:cs="Tahoma"/>
                <w:b/>
                <w:bCs/>
                <w:spacing w:val="1"/>
              </w:rPr>
              <w:t>Ο</w:t>
            </w:r>
            <w:r>
              <w:rPr>
                <w:rFonts w:cs="Tahoma"/>
                <w:b/>
                <w:bCs/>
              </w:rPr>
              <w:t>ΔΙ</w:t>
            </w:r>
            <w:r>
              <w:rPr>
                <w:rFonts w:cs="Tahoma"/>
                <w:b/>
                <w:bCs/>
                <w:spacing w:val="-1"/>
              </w:rPr>
              <w:t>ΑΓΡΑ</w:t>
            </w:r>
            <w:r>
              <w:rPr>
                <w:rFonts w:cs="Tahoma"/>
                <w:b/>
                <w:bCs/>
                <w:spacing w:val="1"/>
              </w:rPr>
              <w:t>Φ</w:t>
            </w:r>
            <w:r>
              <w:rPr>
                <w:rFonts w:cs="Tahoma"/>
                <w:b/>
                <w:bCs/>
                <w:spacing w:val="-1"/>
              </w:rPr>
              <w:t>Ε</w:t>
            </w:r>
            <w:r>
              <w:rPr>
                <w:rFonts w:cs="Tahoma"/>
                <w:b/>
                <w:bCs/>
              </w:rPr>
              <w:t>Σ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412A" w:rsidRDefault="0028412A" w:rsidP="0028412A">
            <w:pPr>
              <w:widowControl w:val="0"/>
              <w:autoSpaceDE w:val="0"/>
              <w:autoSpaceDN w:val="0"/>
              <w:adjustRightInd w:val="0"/>
              <w:spacing w:line="249" w:lineRule="exact"/>
              <w:ind w:right="-2"/>
              <w:jc w:val="center"/>
              <w:rPr>
                <w:rFonts w:cs="Tahoma"/>
              </w:rPr>
            </w:pPr>
            <w:r>
              <w:rPr>
                <w:rFonts w:cs="Tahoma"/>
                <w:b/>
                <w:bCs/>
                <w:spacing w:val="-1"/>
              </w:rPr>
              <w:t>Σ</w:t>
            </w:r>
            <w:r>
              <w:rPr>
                <w:rFonts w:cs="Tahoma"/>
                <w:b/>
                <w:bCs/>
              </w:rPr>
              <w:t>Τ</w:t>
            </w:r>
            <w:r>
              <w:rPr>
                <w:rFonts w:cs="Tahoma"/>
                <w:b/>
                <w:bCs/>
                <w:spacing w:val="1"/>
              </w:rPr>
              <w:t>Ο</w:t>
            </w:r>
            <w:r>
              <w:rPr>
                <w:rFonts w:cs="Tahoma"/>
                <w:b/>
                <w:bCs/>
              </w:rPr>
              <w:t>Ι</w:t>
            </w:r>
            <w:r>
              <w:rPr>
                <w:rFonts w:cs="Tahoma"/>
                <w:b/>
                <w:bCs/>
                <w:spacing w:val="-1"/>
              </w:rPr>
              <w:t>ΧΕ</w:t>
            </w:r>
            <w:r>
              <w:rPr>
                <w:rFonts w:cs="Tahoma"/>
                <w:b/>
                <w:bCs/>
              </w:rPr>
              <w:t>ΙΑ</w:t>
            </w:r>
            <w:r>
              <w:rPr>
                <w:rFonts w:cs="Tahoma"/>
                <w:b/>
                <w:bCs/>
                <w:spacing w:val="-1"/>
              </w:rPr>
              <w:t xml:space="preserve"> ΠΡ</w:t>
            </w:r>
            <w:r>
              <w:rPr>
                <w:rFonts w:cs="Tahoma"/>
                <w:b/>
                <w:bCs/>
                <w:spacing w:val="1"/>
              </w:rPr>
              <w:t>Ο</w:t>
            </w:r>
            <w:r>
              <w:rPr>
                <w:rFonts w:cs="Tahoma"/>
                <w:b/>
                <w:bCs/>
                <w:spacing w:val="-1"/>
              </w:rPr>
              <w:t>Σ</w:t>
            </w:r>
            <w:r>
              <w:rPr>
                <w:rFonts w:cs="Tahoma"/>
                <w:b/>
                <w:bCs/>
                <w:spacing w:val="1"/>
              </w:rPr>
              <w:t>ΦΟ</w:t>
            </w:r>
            <w:r>
              <w:rPr>
                <w:rFonts w:cs="Tahoma"/>
                <w:b/>
                <w:bCs/>
                <w:spacing w:val="-1"/>
              </w:rPr>
              <w:t>ΡΑ</w:t>
            </w:r>
            <w:r>
              <w:rPr>
                <w:rFonts w:cs="Tahoma"/>
                <w:b/>
                <w:bCs/>
              </w:rPr>
              <w:t>Σ</w:t>
            </w:r>
          </w:p>
        </w:tc>
      </w:tr>
      <w:tr w:rsidR="0028412A" w:rsidTr="0028412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Α/Α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ΠΕΡΙΓΡΑΦΗ ΠΡΟΔΙΑΓΡΑΦΗΣ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b/>
                <w:sz w:val="20"/>
                <w:szCs w:val="20"/>
              </w:rPr>
            </w:pPr>
          </w:p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ΑΠΑΙΤΗΣΗ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ΑΠΑΝΤΗΣΗ</w:t>
            </w:r>
          </w:p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ΠΑΡΑΠΟΜΠΗ</w:t>
            </w:r>
          </w:p>
        </w:tc>
      </w:tr>
      <w:tr w:rsidR="0028412A" w:rsidTr="0028412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Η εταιρεία είναι υποχρεωμένη να καλύψει όλες τις βλάβες και τα 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απαιτούμενα ανταλλακτικά τους, και για όλες τις μέρες του χρόνου. 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Θα εκτελούνται δύο  υποχρεωτικές  επισκέψεις το έτος, μία ανά εξάμηνο για την συντήρηση των μηχανημάτων του Οίκου </w:t>
            </w:r>
            <w:proofErr w:type="spellStart"/>
            <w:r>
              <w:rPr>
                <w:rFonts w:cs="Tahoma"/>
                <w:sz w:val="20"/>
                <w:szCs w:val="20"/>
                <w:lang w:val="el-GR"/>
              </w:rPr>
              <w:t>Gambro</w:t>
            </w:r>
            <w:proofErr w:type="spellEnd"/>
            <w:r>
              <w:rPr>
                <w:rFonts w:cs="Tahoma"/>
                <w:sz w:val="20"/>
                <w:szCs w:val="20"/>
                <w:lang w:val="el-GR"/>
              </w:rPr>
              <w:t xml:space="preserve">  (Ομάδα Α) και μία υποχρεωτική επίσκεψη το έτος για την προληπτική συντήρηση των μηχανημάτων του Οίκου </w:t>
            </w:r>
            <w:proofErr w:type="spellStart"/>
            <w:r>
              <w:rPr>
                <w:rFonts w:cs="Tahoma"/>
                <w:sz w:val="20"/>
                <w:szCs w:val="20"/>
                <w:lang w:val="el-GR"/>
              </w:rPr>
              <w:t>Nikkiso</w:t>
            </w:r>
            <w:proofErr w:type="spellEnd"/>
            <w:r>
              <w:rPr>
                <w:rFonts w:cs="Tahoma"/>
                <w:sz w:val="20"/>
                <w:szCs w:val="20"/>
                <w:lang w:val="el-GR"/>
              </w:rPr>
              <w:t xml:space="preserve"> (Ομάδα Β), καθώς και πλήρης τηλεφωνική υποστήριξη για όλα τα μηχανήματα.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</w:tc>
      </w:tr>
      <w:tr w:rsidR="0028412A" w:rsidTr="0028412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Η αξία όλων των απαιτούμενων ανταλλακτικών θα βαρύνει τον ανάδοχο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Από τα ανταλλακτικά εξαιρούνται τα </w:t>
            </w:r>
            <w:r>
              <w:rPr>
                <w:rFonts w:cs="Tahoma"/>
                <w:sz w:val="20"/>
                <w:szCs w:val="20"/>
                <w:lang w:val="en-US"/>
              </w:rPr>
              <w:t>ULTRAFILTERS</w:t>
            </w:r>
            <w:r>
              <w:rPr>
                <w:rFonts w:cs="Tahoma"/>
                <w:sz w:val="20"/>
                <w:szCs w:val="20"/>
                <w:lang w:val="el-GR"/>
              </w:rPr>
              <w:t xml:space="preserve"> ( </w:t>
            </w:r>
            <w:r>
              <w:rPr>
                <w:rFonts w:cs="Tahoma"/>
                <w:sz w:val="20"/>
                <w:szCs w:val="20"/>
                <w:lang w:val="en-US"/>
              </w:rPr>
              <w:t>U</w:t>
            </w:r>
            <w:r>
              <w:rPr>
                <w:rFonts w:cs="Tahoma"/>
                <w:sz w:val="20"/>
                <w:szCs w:val="20"/>
                <w:lang w:val="el-GR"/>
              </w:rPr>
              <w:t>8000</w:t>
            </w:r>
            <w:r>
              <w:rPr>
                <w:rFonts w:cs="Tahoma"/>
                <w:sz w:val="20"/>
                <w:szCs w:val="20"/>
                <w:lang w:val="en-US"/>
              </w:rPr>
              <w:t>S</w:t>
            </w:r>
            <w:r>
              <w:rPr>
                <w:rFonts w:cs="Tahoma"/>
                <w:sz w:val="20"/>
                <w:szCs w:val="20"/>
                <w:lang w:val="el-GR"/>
              </w:rPr>
              <w:t xml:space="preserve"> ) των 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n-US"/>
              </w:rPr>
              <w:t>AK</w:t>
            </w:r>
            <w:r>
              <w:rPr>
                <w:rFonts w:cs="Tahoma"/>
                <w:sz w:val="20"/>
                <w:szCs w:val="20"/>
                <w:lang w:val="el-GR"/>
              </w:rPr>
              <w:t>-200</w:t>
            </w:r>
            <w:r>
              <w:rPr>
                <w:rFonts w:cs="Tahoma"/>
                <w:sz w:val="20"/>
                <w:szCs w:val="20"/>
                <w:lang w:val="en-US"/>
              </w:rPr>
              <w:t>S</w:t>
            </w:r>
            <w:r>
              <w:rPr>
                <w:rFonts w:cs="Tahoma"/>
                <w:sz w:val="20"/>
                <w:szCs w:val="20"/>
                <w:lang w:val="el-GR"/>
              </w:rPr>
              <w:t xml:space="preserve"> </w:t>
            </w:r>
            <w:r>
              <w:rPr>
                <w:rFonts w:cs="Tahoma"/>
                <w:sz w:val="20"/>
                <w:szCs w:val="20"/>
                <w:lang w:val="en-US"/>
              </w:rPr>
              <w:t>ULTRA</w:t>
            </w:r>
            <w:r>
              <w:rPr>
                <w:rFonts w:cs="Tahoma"/>
                <w:sz w:val="20"/>
                <w:szCs w:val="20"/>
                <w:lang w:val="el-GR"/>
              </w:rPr>
              <w:t xml:space="preserve"> που είναι αναλώσιμα υλικά.</w:t>
            </w:r>
            <w:r>
              <w:rPr>
                <w:lang w:val="el-GR"/>
              </w:rPr>
              <w:t xml:space="preserve"> </w:t>
            </w:r>
            <w:r>
              <w:rPr>
                <w:rFonts w:cs="Tahoma"/>
                <w:sz w:val="20"/>
                <w:szCs w:val="20"/>
                <w:lang w:val="el-GR"/>
              </w:rPr>
              <w:t xml:space="preserve">(αφορά τα μηχανήματα του Οίκου </w:t>
            </w:r>
            <w:r>
              <w:rPr>
                <w:rFonts w:cs="Tahoma"/>
                <w:sz w:val="20"/>
                <w:szCs w:val="20"/>
                <w:lang w:val="en-US"/>
              </w:rPr>
              <w:t>G</w:t>
            </w:r>
            <w:proofErr w:type="spellStart"/>
            <w:r>
              <w:rPr>
                <w:rFonts w:cs="Tahoma"/>
                <w:sz w:val="20"/>
                <w:szCs w:val="20"/>
                <w:lang w:val="el-GR"/>
              </w:rPr>
              <w:t>ambro</w:t>
            </w:r>
            <w:proofErr w:type="spellEnd"/>
            <w:r>
              <w:rPr>
                <w:rFonts w:cs="Tahoma"/>
                <w:sz w:val="20"/>
                <w:szCs w:val="20"/>
                <w:lang w:val="el-GR"/>
              </w:rPr>
              <w:t>)</w:t>
            </w:r>
          </w:p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Όλα τα έξοδα μετάβασης – παραμονής και επιστροφής των τεχνικών 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της εταιρείας βαρύνουν τον ανάδοχο.</w:t>
            </w:r>
          </w:p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Θα υπάρχει πλήρης κάλυψη των βλαβών στα μηχανήματα Τεχνητού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 Νεφρού μετά από τηλεφωνική κλήση από τον υπεύθυνο ιατρό ή 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προϊστάμενο του τμήματος. </w:t>
            </w:r>
          </w:p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</w:tc>
      </w:tr>
      <w:tr w:rsidR="0028412A" w:rsidTr="0028412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Ο πίνακας των μηχανημάτων που θα συντηρηθούν, με τύπο</w:t>
            </w:r>
          </w:p>
          <w:p w:rsidR="0028412A" w:rsidRDefault="0028412A" w:rsidP="0028412A">
            <w:pPr>
              <w:ind w:right="-1050"/>
              <w:rPr>
                <w:rFonts w:cs="Tahoma"/>
                <w:b/>
                <w:bCs/>
                <w:sz w:val="20"/>
                <w:szCs w:val="20"/>
                <w:u w:val="single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 μηχανήματος &amp; αριθμό σειράς είναι ο κάτωθι:</w:t>
            </w:r>
          </w:p>
          <w:p w:rsidR="0028412A" w:rsidRDefault="0028412A" w:rsidP="0028412A">
            <w:pPr>
              <w:ind w:right="-1050"/>
              <w:rPr>
                <w:rFonts w:cs="Tahoma"/>
                <w:b/>
                <w:bCs/>
                <w:sz w:val="20"/>
                <w:szCs w:val="20"/>
                <w:u w:val="single"/>
                <w:lang w:val="el-GR"/>
              </w:rPr>
            </w:pPr>
          </w:p>
          <w:tbl>
            <w:tblPr>
              <w:tblW w:w="8916" w:type="dxa"/>
              <w:tblInd w:w="392" w:type="dxa"/>
              <w:tblLayout w:type="fixed"/>
              <w:tblLook w:val="04A0"/>
            </w:tblPr>
            <w:tblGrid>
              <w:gridCol w:w="236"/>
              <w:gridCol w:w="1094"/>
              <w:gridCol w:w="7586"/>
            </w:tblGrid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pStyle w:val="a5"/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l-GR"/>
                    </w:rPr>
                  </w:pPr>
                </w:p>
              </w:tc>
              <w:tc>
                <w:tcPr>
                  <w:tcW w:w="86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l-GR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l-GR"/>
                    </w:rPr>
                    <w:t xml:space="preserve">ΟΜΑΔΑ Α : 21 MHXANHMATA MTN του Οίκου </w:t>
                  </w:r>
                  <w:proofErr w:type="spellStart"/>
                  <w:r>
                    <w:rPr>
                      <w:rFonts w:cs="Tahoma"/>
                      <w:sz w:val="20"/>
                      <w:szCs w:val="20"/>
                      <w:lang w:val="el-GR"/>
                    </w:rPr>
                    <w:t>Gambro</w:t>
                  </w:r>
                  <w:proofErr w:type="spellEnd"/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pStyle w:val="a5"/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l-GR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l-GR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 xml:space="preserve">ΑΚ – 200 S  </w:t>
                  </w:r>
                  <w:proofErr w:type="spellStart"/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με</w:t>
                  </w:r>
                  <w:proofErr w:type="spellEnd"/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 xml:space="preserve">  BU:15608 &amp; FU:12712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BU:15610 &amp; FU:12714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BU:15611 &amp; FU:12715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BU:15613 &amp; FU:12717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BU:12748 &amp; FU:12748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BU:15645 &amp; FU:12749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l-GR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l-GR"/>
                    </w:rPr>
                    <w:t>7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eastAsia="Century Gothic"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BU:15646 &amp; FU:12750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ind w:left="-187" w:firstLine="187"/>
                    <w:rPr>
                      <w:rFonts w:cs="Tahoma"/>
                      <w:sz w:val="20"/>
                      <w:szCs w:val="20"/>
                      <w:lang w:val="el-GR"/>
                    </w:rPr>
                  </w:pPr>
                  <w:r>
                    <w:rPr>
                      <w:rFonts w:eastAsia="Century Gothic" w:cs="Tahoma"/>
                      <w:sz w:val="20"/>
                      <w:szCs w:val="20"/>
                      <w:lang w:val="en-US"/>
                    </w:rPr>
                    <w:t xml:space="preserve">        </w:t>
                  </w:r>
                  <w:r>
                    <w:rPr>
                      <w:rFonts w:cs="Tahoma"/>
                      <w:sz w:val="20"/>
                      <w:szCs w:val="20"/>
                      <w:lang w:val="el-GR"/>
                    </w:rPr>
                    <w:t>8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BU:15647 &amp; FU:12751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ind w:left="-187" w:right="-1050" w:firstLine="187"/>
                    <w:rPr>
                      <w:rFonts w:eastAsia="Century Gothic"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Century Gothic" w:cs="Tahoma"/>
                      <w:sz w:val="20"/>
                      <w:szCs w:val="20"/>
                      <w:lang w:val="en-US"/>
                    </w:rPr>
                    <w:t xml:space="preserve">      9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BU:15648 &amp; FU:12752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pStyle w:val="a4"/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BU:15652 &amp; FU:12756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1</w:t>
                  </w:r>
                  <w:proofErr w:type="spellStart"/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1</w:t>
                  </w:r>
                  <w:proofErr w:type="spellEnd"/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BU:15653 &amp; FU:12757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1</w:t>
                  </w: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BU:15718 &amp; FU:12797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>1</w:t>
                  </w: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BU:15720 &amp; FU:12799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14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BU:15721 &amp; FU:12800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BU:15722 &amp; FU:12801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BU:15725 &amp; FU:12804</w:t>
                  </w:r>
                </w:p>
              </w:tc>
            </w:tr>
            <w:tr w:rsidR="0028412A">
              <w:trPr>
                <w:trHeight w:val="609"/>
              </w:trPr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17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BU:16188 &amp; FU:13122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l-GR"/>
                    </w:rPr>
                    <w:t>1</w:t>
                  </w: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BU:16189 &amp; FU:13123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l-GR"/>
                    </w:rPr>
                    <w:t>1</w:t>
                  </w: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BU:16190 &amp; FU:13124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jc w:val="center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rFonts w:cs="Tahoma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rFonts w:cs="Tahoma"/>
                      <w:sz w:val="20"/>
                      <w:szCs w:val="20"/>
                      <w:lang w:val="en-US"/>
                    </w:rPr>
                  </w:pPr>
                  <w:r>
                    <w:rPr>
                      <w:szCs w:val="22"/>
                    </w:rPr>
                    <w:t>ΑΚ</w:t>
                  </w:r>
                  <w:r>
                    <w:rPr>
                      <w:szCs w:val="22"/>
                      <w:lang w:val="en-US"/>
                    </w:rPr>
                    <w:t xml:space="preserve"> – 200 S  </w:t>
                  </w:r>
                  <w:proofErr w:type="spellStart"/>
                  <w:r>
                    <w:rPr>
                      <w:szCs w:val="22"/>
                    </w:rPr>
                    <w:t>με</w:t>
                  </w:r>
                  <w:proofErr w:type="spellEnd"/>
                  <w:r>
                    <w:rPr>
                      <w:szCs w:val="22"/>
                      <w:lang w:val="en-US"/>
                    </w:rPr>
                    <w:t xml:space="preserve">  BU:16191 &amp; FU:13125</w:t>
                  </w:r>
                </w:p>
              </w:tc>
            </w:tr>
            <w:tr w:rsidR="0028412A" w:rsidRP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868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ahoma" w:hAnsi="Tahoma" w:cs="Tahoma"/>
                      <w:szCs w:val="22"/>
                    </w:rPr>
                    <w:t xml:space="preserve">  </w:t>
                  </w:r>
                  <w:r>
                    <w:rPr>
                      <w:sz w:val="20"/>
                      <w:szCs w:val="20"/>
                      <w:lang w:val="el-GR"/>
                    </w:rPr>
                    <w:t>ΟΜΑΔΑ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l-GR"/>
                    </w:rPr>
                    <w:t>Β</w:t>
                  </w:r>
                  <w:r>
                    <w:rPr>
                      <w:sz w:val="20"/>
                      <w:szCs w:val="20"/>
                    </w:rPr>
                    <w:t xml:space="preserve"> : 12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MHXANHMATA MTN </w:t>
                  </w:r>
                  <w:r>
                    <w:rPr>
                      <w:sz w:val="20"/>
                      <w:szCs w:val="20"/>
                      <w:lang w:val="el-GR"/>
                    </w:rPr>
                    <w:t>του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l-GR"/>
                    </w:rPr>
                    <w:t>Οίκου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Nikkiso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1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szCs w:val="22"/>
                      <w:lang w:val="en-US"/>
                    </w:rPr>
                  </w:pPr>
                  <w:r>
                    <w:rPr>
                      <w:szCs w:val="22"/>
                      <w:lang w:val="en-US"/>
                    </w:rPr>
                    <w:t xml:space="preserve">DBB-05  </w:t>
                  </w:r>
                  <w:r>
                    <w:rPr>
                      <w:szCs w:val="22"/>
                      <w:lang w:val="el-GR"/>
                    </w:rPr>
                    <w:t xml:space="preserve">με </w:t>
                  </w:r>
                  <w:r>
                    <w:rPr>
                      <w:szCs w:val="22"/>
                      <w:lang w:val="en-US"/>
                    </w:rPr>
                    <w:t xml:space="preserve"> SN: 69028N-03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 xml:space="preserve">2 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-1050"/>
                    <w:rPr>
                      <w:szCs w:val="22"/>
                      <w:lang w:val="en-US"/>
                    </w:rPr>
                  </w:pPr>
                  <w:r>
                    <w:rPr>
                      <w:szCs w:val="22"/>
                      <w:lang w:val="en-US"/>
                    </w:rPr>
                    <w:t xml:space="preserve">DBB-05 </w:t>
                  </w:r>
                  <w:r>
                    <w:rPr>
                      <w:szCs w:val="22"/>
                      <w:lang w:val="el-GR"/>
                    </w:rPr>
                    <w:t xml:space="preserve"> με </w:t>
                  </w:r>
                  <w:r>
                    <w:rPr>
                      <w:szCs w:val="22"/>
                      <w:lang w:val="en-US"/>
                    </w:rPr>
                    <w:t xml:space="preserve"> SN: 69033N-01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3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J1808250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4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J180825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5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J180825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6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284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7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J18082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86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8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J18082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87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9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J18082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89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10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290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11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309</w:t>
                  </w:r>
                </w:p>
              </w:tc>
            </w:tr>
            <w:tr w:rsidR="0028412A">
              <w:tc>
                <w:tcPr>
                  <w:tcW w:w="236" w:type="dxa"/>
                </w:tcPr>
                <w:p w:rsidR="0028412A" w:rsidRDefault="0028412A" w:rsidP="0028412A">
                  <w:pPr>
                    <w:snapToGrid w:val="0"/>
                    <w:ind w:right="-1050"/>
                    <w:rPr>
                      <w:rFonts w:cs="Tahoma"/>
                      <w:sz w:val="20"/>
                      <w:szCs w:val="20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8412A" w:rsidRDefault="0028412A" w:rsidP="0028412A">
                  <w:pPr>
                    <w:widowControl w:val="0"/>
                    <w:autoSpaceDE w:val="0"/>
                    <w:spacing w:line="360" w:lineRule="auto"/>
                    <w:ind w:right="22"/>
                    <w:jc w:val="center"/>
                    <w:rPr>
                      <w:szCs w:val="22"/>
                      <w:lang w:val="el-GR"/>
                    </w:rPr>
                  </w:pPr>
                  <w:r>
                    <w:rPr>
                      <w:szCs w:val="22"/>
                      <w:lang w:val="el-GR"/>
                    </w:rPr>
                    <w:t>12</w:t>
                  </w:r>
                </w:p>
              </w:tc>
              <w:tc>
                <w:tcPr>
                  <w:tcW w:w="7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8412A" w:rsidRDefault="0028412A" w:rsidP="0028412A">
                  <w:pPr>
                    <w:pStyle w:val="Default"/>
                    <w:spacing w:line="360" w:lineRule="auto"/>
                    <w:ind w:right="-105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DBB-07  με  SN: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  <w:lang w:val="en-US"/>
                    </w:rPr>
                    <w:t>J1808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310</w:t>
                  </w:r>
                </w:p>
              </w:tc>
            </w:tr>
          </w:tbl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l-GR"/>
              </w:rPr>
              <w:lastRenderedPageBreak/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</w:tc>
      </w:tr>
      <w:tr w:rsidR="0028412A" w:rsidTr="0028412A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7.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ΕΙΔΙΚΕΣ ΠΕΡΙΠΤΩΣΕΙΣ 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 xml:space="preserve">Οι ακόλουθες περιπτώσεις δεν συμπεριλαμβάνονται στις υποχρεώσεις του συντηρητή:      </w:t>
            </w:r>
          </w:p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1. Ζημιά ή καταστροφή των μηχανημάτων από θεομηνίες (σεισμός, θύελλες, νερά, κεραυνό, φωτιά). Από χτυπήματα, πτώση από το προσωπικό του νοσοκομείου ή από τρίτους.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 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412A" w:rsidRDefault="0028412A" w:rsidP="0028412A">
            <w:pPr>
              <w:suppressAutoHyphens w:val="0"/>
              <w:spacing w:after="0"/>
              <w:ind w:right="-105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2. Η αποδεδειγμένα μη ενδεδειγμένη ή κακή χρήση των μηχανημάτων από το Νοσοκομείο ή από τρίτους.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412A" w:rsidRDefault="0028412A" w:rsidP="0028412A">
            <w:pPr>
              <w:suppressAutoHyphens w:val="0"/>
              <w:spacing w:after="0"/>
              <w:ind w:right="-105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3. Η χρήση ακατάλληλων υλικών για την αποστείρωση, για τον καθαρισμό απασβέστωσης καθώς και η ελλιπής διαδικασία απασβέστωσης ή καθαρισμού, πέρα από τις οδηγίες του κατασκευαστή όπως αναφέρονται στα Τεχνικά εγχειρίδια.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  <w:p w:rsidR="0028412A" w:rsidRDefault="0028412A" w:rsidP="0028412A">
            <w:pPr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412A" w:rsidRDefault="0028412A" w:rsidP="0028412A">
            <w:pPr>
              <w:suppressAutoHyphens w:val="0"/>
              <w:spacing w:after="0"/>
              <w:ind w:right="-105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4. Η κακή ποιότητα παροχής νερού από το σύστημα επεξεργασίας νερού του Νοσοκομείου.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412A" w:rsidRDefault="0028412A" w:rsidP="0028412A">
            <w:pPr>
              <w:suppressAutoHyphens w:val="0"/>
              <w:spacing w:after="0"/>
              <w:ind w:right="-105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numPr>
                <w:ilvl w:val="0"/>
                <w:numId w:val="1"/>
              </w:numPr>
              <w:tabs>
                <w:tab w:val="left" w:pos="318"/>
              </w:tabs>
              <w:ind w:left="34" w:right="-1050" w:firstLine="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Η κακή παροχή τροφοδοσίας τάσεως 220V/50 περιόδων του Νοσοκομείου ή της ΔΕΗ.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412A" w:rsidRDefault="0028412A" w:rsidP="0028412A">
            <w:pPr>
              <w:suppressAutoHyphens w:val="0"/>
              <w:spacing w:after="0"/>
              <w:ind w:right="-105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6. Οι εργασίες αποσύνδεσης και εγκατάστασης των μηχανημάτων σε νέους χώρους.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  <w:tr w:rsidR="0028412A" w:rsidTr="0028412A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412A" w:rsidRDefault="0028412A" w:rsidP="0028412A">
            <w:pPr>
              <w:suppressAutoHyphens w:val="0"/>
              <w:spacing w:after="0"/>
              <w:ind w:right="-1050"/>
              <w:jc w:val="left"/>
              <w:rPr>
                <w:sz w:val="20"/>
                <w:szCs w:val="20"/>
                <w:lang w:val="el-GR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ind w:right="-1050"/>
              <w:rPr>
                <w:rFonts w:cs="Tahoma"/>
                <w:sz w:val="20"/>
                <w:szCs w:val="20"/>
                <w:lang w:val="el-GR"/>
              </w:rPr>
            </w:pPr>
            <w:r>
              <w:rPr>
                <w:rFonts w:cs="Tahoma"/>
                <w:sz w:val="20"/>
                <w:szCs w:val="20"/>
                <w:lang w:val="el-GR"/>
              </w:rPr>
              <w:t>Εάν ζητηθεί αποκατάσταση των βλαβών, λόγω των παραπάνω περιπτώσεων και εφόσον είναι δυνατόν, η δαπάνη θα συμπεριλαμβάνει τα εργατικά και τα ανταλλακτικά, και θα χρεώνεται χωριστά, με βάση τις τότε ισχύουσες τιμές του συντηρητή.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12A" w:rsidRDefault="0028412A" w:rsidP="0028412A">
            <w:pPr>
              <w:tabs>
                <w:tab w:val="left" w:pos="1384"/>
              </w:tabs>
              <w:ind w:right="-1050"/>
              <w:rPr>
                <w:sz w:val="20"/>
                <w:szCs w:val="20"/>
                <w:lang w:val="el-GR"/>
              </w:rPr>
            </w:pPr>
          </w:p>
        </w:tc>
      </w:tr>
    </w:tbl>
    <w:p w:rsidR="0028412A" w:rsidRDefault="0028412A" w:rsidP="0028412A">
      <w:pPr>
        <w:pStyle w:val="a3"/>
        <w:tabs>
          <w:tab w:val="center" w:pos="6480"/>
        </w:tabs>
        <w:ind w:left="1435" w:right="-1050"/>
        <w:rPr>
          <w:b/>
          <w:bCs/>
          <w:szCs w:val="22"/>
          <w:lang w:val="el-GR"/>
        </w:rPr>
      </w:pPr>
    </w:p>
    <w:p w:rsidR="00012C40" w:rsidRDefault="00012C40" w:rsidP="0028412A">
      <w:pPr>
        <w:ind w:left="-567" w:right="-1050"/>
      </w:pPr>
    </w:p>
    <w:sectPr w:rsidR="00012C40" w:rsidSect="00012C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25D09"/>
    <w:multiLevelType w:val="hybridMultilevel"/>
    <w:tmpl w:val="56CAEC76"/>
    <w:lvl w:ilvl="0" w:tplc="F46A42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savePreviewPicture/>
  <w:compat/>
  <w:rsids>
    <w:rsidRoot w:val="0028412A"/>
    <w:rsid w:val="00012C40"/>
    <w:rsid w:val="0028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2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28412A"/>
    <w:pPr>
      <w:spacing w:after="240"/>
    </w:pPr>
  </w:style>
  <w:style w:type="character" w:customStyle="1" w:styleId="Char">
    <w:name w:val="Σώμα κειμένου Char"/>
    <w:basedOn w:val="a0"/>
    <w:link w:val="a3"/>
    <w:uiPriority w:val="99"/>
    <w:semiHidden/>
    <w:rsid w:val="0028412A"/>
    <w:rPr>
      <w:rFonts w:ascii="Calibri" w:eastAsia="Times New Roman" w:hAnsi="Calibri" w:cs="Calibri"/>
      <w:szCs w:val="24"/>
      <w:lang w:val="en-GB" w:eastAsia="zh-CN"/>
    </w:rPr>
  </w:style>
  <w:style w:type="paragraph" w:styleId="2">
    <w:name w:val="Body Text 2"/>
    <w:basedOn w:val="a"/>
    <w:link w:val="2Char"/>
    <w:uiPriority w:val="99"/>
    <w:semiHidden/>
    <w:unhideWhenUsed/>
    <w:rsid w:val="0028412A"/>
    <w:pPr>
      <w:suppressAutoHyphens w:val="0"/>
      <w:spacing w:line="480" w:lineRule="auto"/>
      <w:jc w:val="left"/>
    </w:pPr>
    <w:rPr>
      <w:rFonts w:eastAsia="Calibri" w:cs="Times New Roman"/>
      <w:szCs w:val="22"/>
      <w:lang w:val="el-GR" w:eastAsia="en-US"/>
    </w:rPr>
  </w:style>
  <w:style w:type="character" w:customStyle="1" w:styleId="2Char">
    <w:name w:val="Σώμα κείμενου 2 Char"/>
    <w:basedOn w:val="a0"/>
    <w:link w:val="2"/>
    <w:uiPriority w:val="99"/>
    <w:semiHidden/>
    <w:rsid w:val="0028412A"/>
    <w:rPr>
      <w:rFonts w:ascii="Calibri" w:eastAsia="Calibri" w:hAnsi="Calibri" w:cs="Times New Roman"/>
    </w:rPr>
  </w:style>
  <w:style w:type="paragraph" w:customStyle="1" w:styleId="Default">
    <w:name w:val="Default"/>
    <w:rsid w:val="0028412A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4">
    <w:name w:val="Περιεχόμενα πίνακα"/>
    <w:basedOn w:val="a"/>
    <w:rsid w:val="0028412A"/>
    <w:pPr>
      <w:suppressLineNumbers/>
    </w:pPr>
  </w:style>
  <w:style w:type="paragraph" w:customStyle="1" w:styleId="a5">
    <w:name w:val="Επικεφαλίδα πίνακα"/>
    <w:basedOn w:val="a4"/>
    <w:rsid w:val="0028412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gnp06</dc:creator>
  <cp:lastModifiedBy>gnp06</cp:lastModifiedBy>
  <cp:revision>1</cp:revision>
  <dcterms:created xsi:type="dcterms:W3CDTF">2025-11-12T11:07:00Z</dcterms:created>
  <dcterms:modified xsi:type="dcterms:W3CDTF">2025-11-12T11:10:00Z</dcterms:modified>
</cp:coreProperties>
</file>